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C0B58" w14:textId="5346A26D" w:rsidR="00141247" w:rsidRPr="00DD56C2" w:rsidRDefault="00F4244C" w:rsidP="00DD56C2">
      <w:pPr>
        <w:pStyle w:val="3"/>
        <w:spacing w:line="360" w:lineRule="auto"/>
        <w:jc w:val="center"/>
        <w:rPr>
          <w:rFonts w:asciiTheme="minorEastAsia" w:hAnsiTheme="minorEastAsia" w:cs="楷体"/>
          <w:sz w:val="28"/>
        </w:rPr>
      </w:pPr>
      <w:r w:rsidRPr="00DD56C2">
        <w:rPr>
          <w:rFonts w:asciiTheme="minorEastAsia" w:hAnsiTheme="minorEastAsia" w:cs="楷体" w:hint="eastAsia"/>
          <w:sz w:val="28"/>
        </w:rPr>
        <w:t>上海复恩社会组织法律</w:t>
      </w:r>
      <w:r w:rsidR="008F1AE5">
        <w:rPr>
          <w:rFonts w:asciiTheme="minorEastAsia" w:hAnsiTheme="minorEastAsia" w:cs="楷体" w:hint="eastAsia"/>
          <w:sz w:val="28"/>
        </w:rPr>
        <w:t>研究与</w:t>
      </w:r>
      <w:r w:rsidRPr="00DD56C2">
        <w:rPr>
          <w:rFonts w:asciiTheme="minorEastAsia" w:hAnsiTheme="minorEastAsia" w:cs="楷体" w:hint="eastAsia"/>
          <w:sz w:val="28"/>
        </w:rPr>
        <w:t>服务中心</w:t>
      </w:r>
      <w:r w:rsidR="000B6875" w:rsidRPr="00DD56C2">
        <w:rPr>
          <w:rFonts w:asciiTheme="minorEastAsia" w:hAnsiTheme="minorEastAsia" w:cs="楷体"/>
          <w:sz w:val="28"/>
        </w:rPr>
        <w:br/>
      </w:r>
      <w:r w:rsidR="000B6875" w:rsidRPr="00DD56C2">
        <w:rPr>
          <w:rFonts w:asciiTheme="minorEastAsia" w:hAnsiTheme="minorEastAsia" w:cs="楷体" w:hint="eastAsia"/>
          <w:sz w:val="28"/>
        </w:rPr>
        <w:t>重大事项报告制度</w:t>
      </w:r>
    </w:p>
    <w:p w14:paraId="543BFB8B" w14:textId="6E31E181" w:rsidR="00141247" w:rsidRPr="00DD56C2" w:rsidRDefault="000B6875" w:rsidP="00DD56C2">
      <w:pPr>
        <w:pStyle w:val="p0"/>
        <w:spacing w:line="360" w:lineRule="auto"/>
        <w:ind w:firstLineChars="200" w:firstLine="482"/>
        <w:rPr>
          <w:rFonts w:asciiTheme="minorEastAsia" w:hAnsiTheme="minorEastAsia" w:cs="楷体"/>
          <w:sz w:val="24"/>
          <w:szCs w:val="24"/>
        </w:rPr>
      </w:pPr>
      <w:r w:rsidRPr="00DD56C2">
        <w:rPr>
          <w:rFonts w:asciiTheme="minorEastAsia" w:hAnsiTheme="minorEastAsia" w:cs="楷体" w:hint="eastAsia"/>
          <w:b/>
          <w:bCs/>
          <w:sz w:val="24"/>
          <w:szCs w:val="24"/>
        </w:rPr>
        <w:t>第一条</w:t>
      </w:r>
      <w:r w:rsidR="005A3ABC" w:rsidRPr="00DD56C2">
        <w:rPr>
          <w:rFonts w:asciiTheme="minorEastAsia" w:hAnsiTheme="minorEastAsia" w:cs="楷体" w:hint="eastAsia"/>
          <w:sz w:val="24"/>
          <w:szCs w:val="24"/>
        </w:rPr>
        <w:t> </w:t>
      </w:r>
      <w:r w:rsidRPr="00DD56C2">
        <w:rPr>
          <w:rFonts w:asciiTheme="minorEastAsia" w:hAnsiTheme="minorEastAsia" w:cs="楷体" w:hint="eastAsia"/>
          <w:sz w:val="24"/>
          <w:szCs w:val="24"/>
        </w:rPr>
        <w:t>为了正确把握</w:t>
      </w:r>
      <w:r w:rsidR="00F4244C" w:rsidRPr="00DD56C2">
        <w:rPr>
          <w:rFonts w:asciiTheme="minorEastAsia" w:hAnsiTheme="minorEastAsia" w:cs="楷体" w:hint="eastAsia"/>
          <w:sz w:val="24"/>
          <w:szCs w:val="24"/>
        </w:rPr>
        <w:t>上海复恩社会组织法律</w:t>
      </w:r>
      <w:r w:rsidR="008F1AE5">
        <w:rPr>
          <w:rFonts w:asciiTheme="minorEastAsia" w:hAnsiTheme="minorEastAsia" w:cs="楷体" w:hint="eastAsia"/>
          <w:sz w:val="24"/>
          <w:szCs w:val="24"/>
        </w:rPr>
        <w:t>研究与</w:t>
      </w:r>
      <w:r w:rsidR="00F4244C" w:rsidRPr="00DD56C2">
        <w:rPr>
          <w:rFonts w:asciiTheme="minorEastAsia" w:hAnsiTheme="minorEastAsia" w:cs="楷体" w:hint="eastAsia"/>
          <w:sz w:val="24"/>
          <w:szCs w:val="24"/>
        </w:rPr>
        <w:t>服务中心</w:t>
      </w:r>
      <w:r w:rsidRPr="00DD56C2">
        <w:rPr>
          <w:rFonts w:asciiTheme="minorEastAsia" w:hAnsiTheme="minorEastAsia" w:cs="楷体" w:hint="eastAsia"/>
          <w:sz w:val="24"/>
          <w:szCs w:val="24"/>
        </w:rPr>
        <w:t>（以下简称“</w:t>
      </w:r>
      <w:r w:rsidR="00F4244C" w:rsidRPr="00DD56C2">
        <w:rPr>
          <w:rFonts w:asciiTheme="minorEastAsia" w:hAnsiTheme="minorEastAsia" w:cs="楷体" w:hint="eastAsia"/>
          <w:b/>
          <w:bCs/>
          <w:sz w:val="24"/>
          <w:szCs w:val="24"/>
        </w:rPr>
        <w:t>复恩</w:t>
      </w:r>
      <w:r w:rsidRPr="00DD56C2">
        <w:rPr>
          <w:rFonts w:asciiTheme="minorEastAsia" w:hAnsiTheme="minorEastAsia" w:cs="楷体" w:hint="eastAsia"/>
          <w:sz w:val="24"/>
          <w:szCs w:val="24"/>
        </w:rPr>
        <w:t>”）发展方向，加强</w:t>
      </w:r>
      <w:r w:rsidR="00F4244C" w:rsidRPr="00DD56C2">
        <w:rPr>
          <w:rFonts w:asciiTheme="minorEastAsia" w:hAnsiTheme="minorEastAsia" w:cs="楷体" w:hint="eastAsia"/>
          <w:sz w:val="24"/>
          <w:szCs w:val="24"/>
        </w:rPr>
        <w:t>复恩</w:t>
      </w:r>
      <w:r w:rsidRPr="00DD56C2">
        <w:rPr>
          <w:rFonts w:asciiTheme="minorEastAsia" w:hAnsiTheme="minorEastAsia" w:cs="楷体" w:hint="eastAsia"/>
          <w:sz w:val="24"/>
          <w:szCs w:val="24"/>
        </w:rPr>
        <w:t>规范化建设，促进</w:t>
      </w:r>
      <w:r w:rsidR="00F4244C" w:rsidRPr="00DD56C2">
        <w:rPr>
          <w:rFonts w:asciiTheme="minorEastAsia" w:hAnsiTheme="minorEastAsia" w:cs="楷体" w:hint="eastAsia"/>
          <w:sz w:val="24"/>
          <w:szCs w:val="24"/>
        </w:rPr>
        <w:t>复恩</w:t>
      </w:r>
      <w:r w:rsidRPr="00DD56C2">
        <w:rPr>
          <w:rFonts w:asciiTheme="minorEastAsia" w:hAnsiTheme="minorEastAsia" w:cs="楷体" w:hint="eastAsia"/>
          <w:sz w:val="24"/>
          <w:szCs w:val="24"/>
        </w:rPr>
        <w:t>健康发展，根据相关法律法规政策，依据《上海市社会组织重大事项报告指引》，制定本制度。</w:t>
      </w:r>
    </w:p>
    <w:p w14:paraId="1C2DF5C4" w14:textId="21736253" w:rsidR="00141247" w:rsidRPr="00DD56C2" w:rsidRDefault="000B6875" w:rsidP="00DD56C2">
      <w:pPr>
        <w:pStyle w:val="p0"/>
        <w:spacing w:line="360" w:lineRule="auto"/>
        <w:ind w:firstLineChars="200" w:firstLine="482"/>
        <w:rPr>
          <w:rFonts w:asciiTheme="minorEastAsia" w:hAnsiTheme="minorEastAsia" w:cs="楷体"/>
          <w:sz w:val="24"/>
          <w:szCs w:val="24"/>
        </w:rPr>
      </w:pPr>
      <w:r w:rsidRPr="00DD56C2">
        <w:rPr>
          <w:rFonts w:asciiTheme="minorEastAsia" w:hAnsiTheme="minorEastAsia" w:cs="楷体" w:hint="eastAsia"/>
          <w:b/>
          <w:bCs/>
          <w:sz w:val="24"/>
          <w:szCs w:val="24"/>
        </w:rPr>
        <w:t>第二条</w:t>
      </w:r>
      <w:r w:rsidR="005A3ABC" w:rsidRPr="00DD56C2">
        <w:rPr>
          <w:rFonts w:asciiTheme="minorEastAsia" w:hAnsiTheme="minorEastAsia" w:cs="楷体" w:hint="eastAsia"/>
          <w:sz w:val="24"/>
          <w:szCs w:val="24"/>
        </w:rPr>
        <w:t> </w:t>
      </w:r>
      <w:r w:rsidRPr="00DD56C2">
        <w:rPr>
          <w:rFonts w:asciiTheme="minorEastAsia" w:hAnsiTheme="minorEastAsia" w:cs="楷体" w:hint="eastAsia"/>
          <w:sz w:val="24"/>
          <w:szCs w:val="24"/>
        </w:rPr>
        <w:t>本制度所称重大事项包括依法需要审批和备案的事项，以及对</w:t>
      </w:r>
      <w:r w:rsidR="00F4244C" w:rsidRPr="00DD56C2">
        <w:rPr>
          <w:rFonts w:asciiTheme="minorEastAsia" w:hAnsiTheme="minorEastAsia" w:cs="楷体" w:hint="eastAsia"/>
          <w:sz w:val="24"/>
          <w:szCs w:val="24"/>
        </w:rPr>
        <w:t>复恩</w:t>
      </w:r>
      <w:r w:rsidRPr="00DD56C2">
        <w:rPr>
          <w:rFonts w:asciiTheme="minorEastAsia" w:hAnsiTheme="minorEastAsia" w:cs="楷体" w:hint="eastAsia"/>
          <w:sz w:val="24"/>
          <w:szCs w:val="24"/>
        </w:rPr>
        <w:t>自身、服务对象和其他组织和个人，可能带来较大影响或者具有较大影响的重大决定、重大变化、重大事件和重要活动等。</w:t>
      </w:r>
    </w:p>
    <w:p w14:paraId="2A3A13C1" w14:textId="5B21B27F" w:rsidR="00141247" w:rsidRPr="00DD56C2" w:rsidRDefault="000B6875" w:rsidP="00DD56C2">
      <w:pPr>
        <w:pStyle w:val="p0"/>
        <w:spacing w:line="360" w:lineRule="auto"/>
        <w:ind w:firstLineChars="200" w:firstLine="482"/>
        <w:rPr>
          <w:rFonts w:asciiTheme="minorEastAsia" w:hAnsiTheme="minorEastAsia" w:cs="楷体"/>
          <w:sz w:val="24"/>
          <w:szCs w:val="24"/>
        </w:rPr>
      </w:pPr>
      <w:r w:rsidRPr="00DD56C2">
        <w:rPr>
          <w:rFonts w:asciiTheme="minorEastAsia" w:hAnsiTheme="minorEastAsia" w:cs="楷体" w:hint="eastAsia"/>
          <w:b/>
          <w:bCs/>
          <w:sz w:val="24"/>
          <w:szCs w:val="24"/>
        </w:rPr>
        <w:t>第三条</w:t>
      </w:r>
      <w:r w:rsidR="005A3ABC" w:rsidRPr="00DD56C2">
        <w:rPr>
          <w:rFonts w:asciiTheme="minorEastAsia" w:hAnsiTheme="minorEastAsia" w:cs="楷体" w:hint="eastAsia"/>
          <w:sz w:val="24"/>
          <w:szCs w:val="24"/>
        </w:rPr>
        <w:t> </w:t>
      </w:r>
      <w:r w:rsidR="00F4244C" w:rsidRPr="00DD56C2">
        <w:rPr>
          <w:rFonts w:asciiTheme="minorEastAsia" w:hAnsiTheme="minorEastAsia" w:cs="楷体" w:hint="eastAsia"/>
          <w:sz w:val="24"/>
          <w:szCs w:val="24"/>
        </w:rPr>
        <w:t>复恩</w:t>
      </w:r>
      <w:r w:rsidRPr="00DD56C2">
        <w:rPr>
          <w:rFonts w:asciiTheme="minorEastAsia" w:hAnsiTheme="minorEastAsia" w:cs="楷体" w:hint="eastAsia"/>
          <w:sz w:val="24"/>
          <w:szCs w:val="24"/>
        </w:rPr>
        <w:t>按照国家和上海市以及</w:t>
      </w:r>
      <w:r w:rsidR="00F4244C" w:rsidRPr="00DD56C2">
        <w:rPr>
          <w:rFonts w:asciiTheme="minorEastAsia" w:hAnsiTheme="minorEastAsia" w:cs="楷体" w:hint="eastAsia"/>
          <w:sz w:val="24"/>
          <w:szCs w:val="24"/>
        </w:rPr>
        <w:t>复恩</w:t>
      </w:r>
      <w:r w:rsidRPr="00DD56C2">
        <w:rPr>
          <w:rFonts w:asciiTheme="minorEastAsia" w:hAnsiTheme="minorEastAsia" w:cs="楷体" w:hint="eastAsia"/>
          <w:sz w:val="24"/>
          <w:szCs w:val="24"/>
        </w:rPr>
        <w:t>章程的有关规定，合法、审慎、稳妥地自行处理重大事项，并承担相应责任。涉及行政审批和备案的，需同时依照有关规定办理。</w:t>
      </w:r>
      <w:r w:rsidR="00F4244C" w:rsidRPr="00DD56C2">
        <w:rPr>
          <w:rFonts w:asciiTheme="minorEastAsia" w:hAnsiTheme="minorEastAsia" w:cs="楷体" w:hint="eastAsia"/>
          <w:sz w:val="24"/>
          <w:szCs w:val="24"/>
        </w:rPr>
        <w:t>复恩</w:t>
      </w:r>
      <w:r w:rsidRPr="00DD56C2">
        <w:rPr>
          <w:rFonts w:asciiTheme="minorEastAsia" w:hAnsiTheme="minorEastAsia" w:cs="楷体" w:hint="eastAsia"/>
          <w:sz w:val="24"/>
          <w:szCs w:val="24"/>
        </w:rPr>
        <w:t>接受政府相关部门对报告的重大事项给予指导和监督。</w:t>
      </w:r>
    </w:p>
    <w:p w14:paraId="1114ABC2" w14:textId="6E0E7BDA" w:rsidR="00141247" w:rsidRPr="00DD56C2" w:rsidRDefault="000B6875" w:rsidP="00DD56C2">
      <w:pPr>
        <w:pStyle w:val="p0"/>
        <w:spacing w:line="360" w:lineRule="auto"/>
        <w:ind w:firstLineChars="200" w:firstLine="482"/>
        <w:rPr>
          <w:rFonts w:asciiTheme="minorEastAsia" w:hAnsiTheme="minorEastAsia" w:cs="楷体"/>
          <w:sz w:val="24"/>
          <w:szCs w:val="24"/>
        </w:rPr>
      </w:pPr>
      <w:r w:rsidRPr="00DD56C2">
        <w:rPr>
          <w:rFonts w:asciiTheme="minorEastAsia" w:hAnsiTheme="minorEastAsia" w:cs="楷体" w:hint="eastAsia"/>
          <w:b/>
          <w:bCs/>
          <w:sz w:val="24"/>
          <w:szCs w:val="24"/>
        </w:rPr>
        <w:t>第四条</w:t>
      </w:r>
      <w:r w:rsidR="005A3ABC" w:rsidRPr="00DD56C2">
        <w:rPr>
          <w:rFonts w:asciiTheme="minorEastAsia" w:hAnsiTheme="minorEastAsia" w:cs="楷体" w:hint="eastAsia"/>
          <w:sz w:val="24"/>
          <w:szCs w:val="24"/>
        </w:rPr>
        <w:t> </w:t>
      </w:r>
      <w:r w:rsidR="00F4244C" w:rsidRPr="00DD56C2">
        <w:rPr>
          <w:rFonts w:asciiTheme="minorEastAsia" w:hAnsiTheme="minorEastAsia" w:cs="楷体" w:hint="eastAsia"/>
          <w:sz w:val="24"/>
          <w:szCs w:val="24"/>
        </w:rPr>
        <w:t>复恩</w:t>
      </w:r>
      <w:r w:rsidRPr="00DD56C2">
        <w:rPr>
          <w:rFonts w:asciiTheme="minorEastAsia" w:hAnsiTheme="minorEastAsia" w:cs="楷体" w:hint="eastAsia"/>
          <w:sz w:val="24"/>
          <w:szCs w:val="24"/>
        </w:rPr>
        <w:t>在重大事项报告的同时，主动进行信息公开，自觉接受社会监督。</w:t>
      </w:r>
    </w:p>
    <w:p w14:paraId="610DE061" w14:textId="1D5A79CF" w:rsidR="00141247" w:rsidRPr="00DD56C2" w:rsidRDefault="000B6875" w:rsidP="00DD56C2">
      <w:pPr>
        <w:pStyle w:val="p0"/>
        <w:spacing w:line="360" w:lineRule="auto"/>
        <w:ind w:firstLineChars="200" w:firstLine="482"/>
        <w:rPr>
          <w:rFonts w:asciiTheme="minorEastAsia" w:hAnsiTheme="minorEastAsia" w:cs="楷体"/>
          <w:sz w:val="24"/>
          <w:szCs w:val="24"/>
        </w:rPr>
      </w:pPr>
      <w:r w:rsidRPr="00DD56C2">
        <w:rPr>
          <w:rFonts w:asciiTheme="minorEastAsia" w:hAnsiTheme="minorEastAsia" w:cs="楷体" w:hint="eastAsia"/>
          <w:b/>
          <w:bCs/>
          <w:sz w:val="24"/>
          <w:szCs w:val="24"/>
        </w:rPr>
        <w:t>第五条</w:t>
      </w:r>
      <w:r w:rsidR="005A3ABC" w:rsidRPr="00DD56C2">
        <w:rPr>
          <w:rFonts w:asciiTheme="minorEastAsia" w:hAnsiTheme="minorEastAsia" w:cs="楷体" w:hint="eastAsia"/>
          <w:sz w:val="24"/>
          <w:szCs w:val="24"/>
        </w:rPr>
        <w:t> </w:t>
      </w:r>
      <w:r w:rsidR="00F4244C" w:rsidRPr="00DD56C2">
        <w:rPr>
          <w:rFonts w:asciiTheme="minorEastAsia" w:hAnsiTheme="minorEastAsia" w:cs="楷体" w:hint="eastAsia"/>
          <w:sz w:val="24"/>
          <w:szCs w:val="24"/>
        </w:rPr>
        <w:t>复恩</w:t>
      </w:r>
      <w:r w:rsidRPr="00DD56C2">
        <w:rPr>
          <w:rFonts w:asciiTheme="minorEastAsia" w:hAnsiTheme="minorEastAsia" w:cs="楷体" w:hint="eastAsia"/>
          <w:sz w:val="24"/>
          <w:szCs w:val="24"/>
        </w:rPr>
        <w:t>报告的重大事项主要有：</w:t>
      </w:r>
    </w:p>
    <w:p w14:paraId="6C65DE33" w14:textId="77777777" w:rsidR="00141247" w:rsidRPr="00DD56C2" w:rsidRDefault="000B6875" w:rsidP="00DD56C2">
      <w:pPr>
        <w:pStyle w:val="p0"/>
        <w:spacing w:line="360" w:lineRule="auto"/>
        <w:ind w:firstLineChars="200" w:firstLine="480"/>
        <w:rPr>
          <w:rFonts w:asciiTheme="minorEastAsia" w:hAnsiTheme="minorEastAsia" w:cs="楷体"/>
          <w:sz w:val="24"/>
          <w:szCs w:val="24"/>
        </w:rPr>
      </w:pPr>
      <w:r w:rsidRPr="00DD56C2">
        <w:rPr>
          <w:rFonts w:asciiTheme="minorEastAsia" w:hAnsiTheme="minorEastAsia" w:cs="楷体" w:hint="eastAsia"/>
          <w:sz w:val="24"/>
          <w:szCs w:val="24"/>
        </w:rPr>
        <w:t>（一）理事会通过的，依法需要审批和备案的重大决定，包含换届选举、变更登记、修改章程等；</w:t>
      </w:r>
    </w:p>
    <w:p w14:paraId="1B0A3920" w14:textId="18E412EC" w:rsidR="00141247" w:rsidRPr="00DD56C2" w:rsidRDefault="000B6875" w:rsidP="00DD56C2">
      <w:pPr>
        <w:pStyle w:val="p0"/>
        <w:spacing w:line="360" w:lineRule="auto"/>
        <w:ind w:firstLineChars="200" w:firstLine="480"/>
        <w:rPr>
          <w:rFonts w:asciiTheme="minorEastAsia" w:hAnsiTheme="minorEastAsia" w:cs="楷体"/>
          <w:sz w:val="24"/>
          <w:szCs w:val="24"/>
        </w:rPr>
      </w:pPr>
      <w:r w:rsidRPr="00DD56C2">
        <w:rPr>
          <w:rFonts w:asciiTheme="minorEastAsia" w:hAnsiTheme="minorEastAsia" w:cs="楷体" w:hint="eastAsia"/>
          <w:sz w:val="24"/>
          <w:szCs w:val="24"/>
        </w:rPr>
        <w:t>（二）</w:t>
      </w:r>
      <w:r w:rsidR="00040FBD" w:rsidRPr="00DD56C2">
        <w:rPr>
          <w:rFonts w:asciiTheme="minorEastAsia" w:hAnsiTheme="minorEastAsia" w:cs="楷体"/>
          <w:sz w:val="24"/>
          <w:szCs w:val="24"/>
        </w:rPr>
        <w:t>主要负责人发生变化的，</w:t>
      </w:r>
      <w:r w:rsidR="00F4244C" w:rsidRPr="00DD56C2">
        <w:rPr>
          <w:rFonts w:asciiTheme="minorEastAsia" w:hAnsiTheme="minorEastAsia" w:cs="楷体"/>
          <w:sz w:val="24"/>
          <w:szCs w:val="24"/>
        </w:rPr>
        <w:t>复恩</w:t>
      </w:r>
      <w:r w:rsidR="00040FBD" w:rsidRPr="00DD56C2">
        <w:rPr>
          <w:rFonts w:asciiTheme="minorEastAsia" w:hAnsiTheme="minorEastAsia" w:cs="楷体"/>
          <w:sz w:val="24"/>
          <w:szCs w:val="24"/>
        </w:rPr>
        <w:t>的</w:t>
      </w:r>
      <w:r w:rsidR="00040FBD" w:rsidRPr="00DD56C2">
        <w:rPr>
          <w:rFonts w:asciiTheme="minorEastAsia" w:hAnsiTheme="minorEastAsia" w:cs="楷体" w:hint="eastAsia"/>
          <w:sz w:val="24"/>
          <w:szCs w:val="24"/>
        </w:rPr>
        <w:t>理事成员</w:t>
      </w:r>
      <w:r w:rsidR="00040FBD" w:rsidRPr="00DD56C2">
        <w:rPr>
          <w:rFonts w:asciiTheme="minorEastAsia" w:hAnsiTheme="minorEastAsia" w:cs="楷体"/>
          <w:sz w:val="24"/>
          <w:szCs w:val="24"/>
        </w:rPr>
        <w:t>发生变更的；</w:t>
      </w:r>
    </w:p>
    <w:p w14:paraId="723E37FF" w14:textId="77777777" w:rsidR="00141247" w:rsidRPr="00DD56C2" w:rsidRDefault="000B6875" w:rsidP="00DD56C2">
      <w:pPr>
        <w:pStyle w:val="p0"/>
        <w:spacing w:line="360" w:lineRule="auto"/>
        <w:ind w:firstLineChars="200" w:firstLine="480"/>
        <w:rPr>
          <w:rFonts w:asciiTheme="minorEastAsia" w:hAnsiTheme="minorEastAsia" w:cs="楷体"/>
          <w:sz w:val="24"/>
          <w:szCs w:val="24"/>
        </w:rPr>
      </w:pPr>
      <w:r w:rsidRPr="00DD56C2">
        <w:rPr>
          <w:rFonts w:asciiTheme="minorEastAsia" w:hAnsiTheme="minorEastAsia" w:cs="楷体" w:hint="eastAsia"/>
          <w:sz w:val="24"/>
          <w:szCs w:val="24"/>
        </w:rPr>
        <w:t>（三）吸收境外人士担任名誉职务或决策机构成员的、接受境外组织、个人捐赠及资助的、加入国际组织的、参加国际性学术活动及其他外事活动的、邀请境外人士或境外组织参加活动的、与境外组织合作或联合举办活动的、在境外设立分支（代表）机构的、以单位名义组织境外学习和考察活动等；</w:t>
      </w:r>
    </w:p>
    <w:p w14:paraId="57F71464" w14:textId="77777777" w:rsidR="00141247" w:rsidRPr="00DD56C2" w:rsidRDefault="000B6875" w:rsidP="00DD56C2">
      <w:pPr>
        <w:pStyle w:val="p0"/>
        <w:spacing w:line="360" w:lineRule="auto"/>
        <w:ind w:firstLineChars="200" w:firstLine="480"/>
        <w:rPr>
          <w:rFonts w:asciiTheme="minorEastAsia" w:hAnsiTheme="minorEastAsia" w:cs="楷体"/>
          <w:sz w:val="24"/>
          <w:szCs w:val="24"/>
        </w:rPr>
      </w:pPr>
      <w:r w:rsidRPr="00DD56C2">
        <w:rPr>
          <w:rFonts w:asciiTheme="minorEastAsia" w:hAnsiTheme="minorEastAsia" w:cs="楷体" w:hint="eastAsia"/>
          <w:sz w:val="24"/>
          <w:szCs w:val="24"/>
        </w:rPr>
        <w:t>（四）举办大型公共活动的；</w:t>
      </w:r>
    </w:p>
    <w:p w14:paraId="3CD629C1" w14:textId="77777777" w:rsidR="00141247" w:rsidRPr="00DD56C2" w:rsidRDefault="000B6875" w:rsidP="00DD56C2">
      <w:pPr>
        <w:pStyle w:val="p0"/>
        <w:spacing w:line="360" w:lineRule="auto"/>
        <w:ind w:firstLineChars="200" w:firstLine="480"/>
        <w:rPr>
          <w:rFonts w:asciiTheme="minorEastAsia" w:hAnsiTheme="minorEastAsia" w:cs="楷体"/>
          <w:sz w:val="24"/>
          <w:szCs w:val="24"/>
        </w:rPr>
      </w:pPr>
      <w:r w:rsidRPr="00DD56C2">
        <w:rPr>
          <w:rFonts w:asciiTheme="minorEastAsia" w:hAnsiTheme="minorEastAsia" w:cs="楷体" w:hint="eastAsia"/>
          <w:sz w:val="24"/>
          <w:szCs w:val="24"/>
        </w:rPr>
        <w:t>（五）参加重大投资项目，接受和使用重大捐赠及资助的；</w:t>
      </w:r>
    </w:p>
    <w:p w14:paraId="7F0C9A64" w14:textId="77777777" w:rsidR="00141247" w:rsidRPr="00DD56C2" w:rsidRDefault="000B6875" w:rsidP="00DD56C2">
      <w:pPr>
        <w:pStyle w:val="p0"/>
        <w:spacing w:line="360" w:lineRule="auto"/>
        <w:ind w:firstLineChars="200" w:firstLine="480"/>
        <w:rPr>
          <w:rFonts w:asciiTheme="minorEastAsia" w:hAnsiTheme="minorEastAsia" w:cs="楷体"/>
          <w:sz w:val="24"/>
          <w:szCs w:val="24"/>
        </w:rPr>
      </w:pPr>
      <w:r w:rsidRPr="00DD56C2">
        <w:rPr>
          <w:rFonts w:asciiTheme="minorEastAsia" w:hAnsiTheme="minorEastAsia" w:cs="楷体" w:hint="eastAsia"/>
          <w:sz w:val="24"/>
          <w:szCs w:val="24"/>
        </w:rPr>
        <w:t>（六）因违反有关法律、法规，被有关行政机关依法处罚的；</w:t>
      </w:r>
    </w:p>
    <w:p w14:paraId="218BE0E5" w14:textId="7BCE715C" w:rsidR="00141247" w:rsidRPr="00DD56C2" w:rsidRDefault="000B6875" w:rsidP="00DD56C2">
      <w:pPr>
        <w:pStyle w:val="p0"/>
        <w:spacing w:line="360" w:lineRule="auto"/>
        <w:ind w:firstLineChars="200" w:firstLine="480"/>
        <w:rPr>
          <w:rFonts w:asciiTheme="minorEastAsia" w:hAnsiTheme="minorEastAsia" w:cs="楷体"/>
          <w:sz w:val="24"/>
          <w:szCs w:val="24"/>
        </w:rPr>
      </w:pPr>
      <w:r w:rsidRPr="00DD56C2">
        <w:rPr>
          <w:rFonts w:asciiTheme="minorEastAsia" w:hAnsiTheme="minorEastAsia" w:cs="楷体" w:hint="eastAsia"/>
          <w:sz w:val="24"/>
          <w:szCs w:val="24"/>
        </w:rPr>
        <w:lastRenderedPageBreak/>
        <w:t>（七））其他包括</w:t>
      </w:r>
      <w:r w:rsidR="00F4244C" w:rsidRPr="00DD56C2">
        <w:rPr>
          <w:rFonts w:asciiTheme="minorEastAsia" w:hAnsiTheme="minorEastAsia" w:cs="楷体" w:hint="eastAsia"/>
          <w:sz w:val="24"/>
          <w:szCs w:val="24"/>
        </w:rPr>
        <w:t>复恩</w:t>
      </w:r>
      <w:r w:rsidRPr="00DD56C2">
        <w:rPr>
          <w:rFonts w:asciiTheme="minorEastAsia" w:hAnsiTheme="minorEastAsia" w:cs="楷体" w:hint="eastAsia"/>
          <w:sz w:val="24"/>
          <w:szCs w:val="24"/>
        </w:rPr>
        <w:t>有重大影响的诉讼事件的、在活动中发现重要社情动态、发生重大突发事件的等。</w:t>
      </w:r>
    </w:p>
    <w:p w14:paraId="0E3F80B2" w14:textId="593CCC3A" w:rsidR="00141247" w:rsidRPr="00DD56C2" w:rsidRDefault="000B6875" w:rsidP="00DD56C2">
      <w:pPr>
        <w:pStyle w:val="p0"/>
        <w:spacing w:line="360" w:lineRule="auto"/>
        <w:ind w:firstLineChars="200" w:firstLine="482"/>
        <w:rPr>
          <w:rFonts w:asciiTheme="minorEastAsia" w:hAnsiTheme="minorEastAsia" w:cs="楷体"/>
          <w:sz w:val="24"/>
          <w:szCs w:val="24"/>
        </w:rPr>
      </w:pPr>
      <w:r w:rsidRPr="00DD56C2">
        <w:rPr>
          <w:rFonts w:asciiTheme="minorEastAsia" w:hAnsiTheme="minorEastAsia" w:cs="楷体" w:hint="eastAsia"/>
          <w:b/>
          <w:bCs/>
          <w:sz w:val="24"/>
          <w:szCs w:val="24"/>
        </w:rPr>
        <w:t>第六条</w:t>
      </w:r>
      <w:r w:rsidR="005A3ABC" w:rsidRPr="00DD56C2">
        <w:rPr>
          <w:rFonts w:asciiTheme="minorEastAsia" w:hAnsiTheme="minorEastAsia" w:cs="楷体" w:hint="eastAsia"/>
          <w:sz w:val="24"/>
          <w:szCs w:val="24"/>
        </w:rPr>
        <w:t> </w:t>
      </w:r>
      <w:r w:rsidR="00F4244C" w:rsidRPr="00DD56C2">
        <w:rPr>
          <w:rFonts w:asciiTheme="minorEastAsia" w:hAnsiTheme="minorEastAsia" w:cs="楷体" w:hint="eastAsia"/>
          <w:sz w:val="24"/>
          <w:szCs w:val="24"/>
        </w:rPr>
        <w:t>复恩</w:t>
      </w:r>
      <w:r w:rsidRPr="00DD56C2">
        <w:rPr>
          <w:rFonts w:asciiTheme="minorEastAsia" w:hAnsiTheme="minorEastAsia" w:cs="楷体" w:hint="eastAsia"/>
          <w:sz w:val="24"/>
          <w:szCs w:val="24"/>
        </w:rPr>
        <w:t>重大决定、重大变化、开展涉外活动，需提前20个工作日向登记管理机关和行业主管部门进行报告，其他事项事后30日内及时报告。</w:t>
      </w:r>
    </w:p>
    <w:p w14:paraId="3538D56D" w14:textId="42007384" w:rsidR="00141247" w:rsidRPr="00DD56C2" w:rsidRDefault="000B6875" w:rsidP="00DD56C2">
      <w:pPr>
        <w:pStyle w:val="p0"/>
        <w:spacing w:line="360" w:lineRule="auto"/>
        <w:ind w:firstLineChars="200" w:firstLine="482"/>
        <w:rPr>
          <w:rFonts w:asciiTheme="minorEastAsia" w:hAnsiTheme="minorEastAsia" w:cs="楷体"/>
          <w:sz w:val="24"/>
          <w:szCs w:val="24"/>
        </w:rPr>
      </w:pPr>
      <w:r w:rsidRPr="00DD56C2">
        <w:rPr>
          <w:rFonts w:asciiTheme="minorEastAsia" w:hAnsiTheme="minorEastAsia" w:cs="楷体" w:hint="eastAsia"/>
          <w:b/>
          <w:bCs/>
          <w:sz w:val="24"/>
          <w:szCs w:val="24"/>
        </w:rPr>
        <w:t>第七条</w:t>
      </w:r>
      <w:r w:rsidR="005A3ABC" w:rsidRPr="00DD56C2">
        <w:rPr>
          <w:rFonts w:asciiTheme="minorEastAsia" w:hAnsiTheme="minorEastAsia" w:cs="楷体" w:hint="eastAsia"/>
          <w:sz w:val="24"/>
          <w:szCs w:val="24"/>
        </w:rPr>
        <w:t> </w:t>
      </w:r>
      <w:r w:rsidRPr="00DD56C2">
        <w:rPr>
          <w:rFonts w:asciiTheme="minorEastAsia" w:hAnsiTheme="minorEastAsia" w:cs="楷体" w:hint="eastAsia"/>
          <w:sz w:val="24"/>
          <w:szCs w:val="24"/>
        </w:rPr>
        <w:t>重大事项报告一般采取书面形式，书面材料应载明</w:t>
      </w:r>
      <w:r w:rsidR="00F4244C" w:rsidRPr="00DD56C2">
        <w:rPr>
          <w:rFonts w:asciiTheme="minorEastAsia" w:hAnsiTheme="minorEastAsia" w:cs="楷体" w:hint="eastAsia"/>
          <w:sz w:val="24"/>
          <w:szCs w:val="24"/>
        </w:rPr>
        <w:t>复恩</w:t>
      </w:r>
      <w:r w:rsidRPr="00DD56C2">
        <w:rPr>
          <w:rFonts w:asciiTheme="minorEastAsia" w:hAnsiTheme="minorEastAsia" w:cs="楷体" w:hint="eastAsia"/>
          <w:sz w:val="24"/>
          <w:szCs w:val="24"/>
        </w:rPr>
        <w:t>名称，重大事项发生时间、地点，事项具体内容，联系人及联系方式等，并加盖</w:t>
      </w:r>
      <w:r w:rsidR="00F4244C" w:rsidRPr="00DD56C2">
        <w:rPr>
          <w:rFonts w:asciiTheme="minorEastAsia" w:hAnsiTheme="minorEastAsia" w:cs="楷体" w:hint="eastAsia"/>
          <w:sz w:val="24"/>
          <w:szCs w:val="24"/>
        </w:rPr>
        <w:t>复恩</w:t>
      </w:r>
      <w:r w:rsidRPr="00DD56C2">
        <w:rPr>
          <w:rFonts w:asciiTheme="minorEastAsia" w:hAnsiTheme="minorEastAsia" w:cs="楷体" w:hint="eastAsia"/>
          <w:sz w:val="24"/>
          <w:szCs w:val="24"/>
        </w:rPr>
        <w:t>公章（样式附后）。按照有关规定需向公安、外事等部门申请报批或报备的事项从其规定。</w:t>
      </w:r>
    </w:p>
    <w:p w14:paraId="6060893E" w14:textId="413010CD" w:rsidR="00141247" w:rsidRPr="00DD56C2" w:rsidRDefault="000B6875" w:rsidP="00DD56C2">
      <w:pPr>
        <w:autoSpaceDN w:val="0"/>
        <w:snapToGrid w:val="0"/>
        <w:spacing w:line="360" w:lineRule="auto"/>
        <w:ind w:firstLineChars="200" w:firstLine="482"/>
        <w:rPr>
          <w:rFonts w:asciiTheme="minorEastAsia" w:hAnsiTheme="minorEastAsia" w:cs="楷体"/>
          <w:bCs/>
          <w:sz w:val="24"/>
        </w:rPr>
      </w:pPr>
      <w:r w:rsidRPr="00DD56C2">
        <w:rPr>
          <w:rStyle w:val="p0Char"/>
          <w:rFonts w:asciiTheme="minorEastAsia" w:hAnsiTheme="minorEastAsia" w:cs="楷体" w:hint="eastAsia"/>
          <w:b/>
          <w:bCs/>
          <w:sz w:val="24"/>
          <w:szCs w:val="24"/>
        </w:rPr>
        <w:t>第八条</w:t>
      </w:r>
      <w:r w:rsidR="005A3ABC" w:rsidRPr="00DD56C2">
        <w:rPr>
          <w:rFonts w:asciiTheme="minorEastAsia" w:hAnsiTheme="minorEastAsia" w:cs="楷体" w:hint="eastAsia"/>
          <w:sz w:val="24"/>
        </w:rPr>
        <w:t> </w:t>
      </w:r>
      <w:r w:rsidR="00F4244C" w:rsidRPr="00DD56C2">
        <w:rPr>
          <w:rFonts w:asciiTheme="minorEastAsia" w:hAnsiTheme="minorEastAsia" w:cs="楷体" w:hint="eastAsia"/>
          <w:bCs/>
          <w:sz w:val="24"/>
        </w:rPr>
        <w:t>复恩</w:t>
      </w:r>
      <w:r w:rsidRPr="00DD56C2">
        <w:rPr>
          <w:rFonts w:asciiTheme="minorEastAsia" w:hAnsiTheme="minorEastAsia" w:cs="楷体" w:hint="eastAsia"/>
          <w:bCs/>
          <w:sz w:val="24"/>
        </w:rPr>
        <w:t>主动接受行业主管部门、登记管理机关的指导和监督。</w:t>
      </w:r>
    </w:p>
    <w:p w14:paraId="727DF6C6" w14:textId="77777777" w:rsidR="00141247" w:rsidRPr="00DD56C2" w:rsidRDefault="000B6875" w:rsidP="00DD56C2">
      <w:pPr>
        <w:autoSpaceDN w:val="0"/>
        <w:snapToGrid w:val="0"/>
        <w:spacing w:line="360" w:lineRule="auto"/>
        <w:ind w:firstLineChars="200" w:firstLine="482"/>
        <w:rPr>
          <w:rFonts w:asciiTheme="minorEastAsia" w:hAnsiTheme="minorEastAsia" w:cs="楷体"/>
          <w:sz w:val="24"/>
        </w:rPr>
      </w:pPr>
      <w:r w:rsidRPr="00DD56C2">
        <w:rPr>
          <w:rFonts w:asciiTheme="minorEastAsia" w:hAnsiTheme="minorEastAsia" w:cs="楷体" w:hint="eastAsia"/>
          <w:b/>
          <w:bCs/>
          <w:sz w:val="24"/>
        </w:rPr>
        <w:t>第九条</w:t>
      </w:r>
      <w:r w:rsidR="005A3ABC" w:rsidRPr="00DD56C2">
        <w:rPr>
          <w:rFonts w:asciiTheme="minorEastAsia" w:hAnsiTheme="minorEastAsia" w:cs="楷体" w:hint="eastAsia"/>
          <w:sz w:val="24"/>
        </w:rPr>
        <w:t> </w:t>
      </w:r>
      <w:r w:rsidRPr="00DD56C2">
        <w:rPr>
          <w:rFonts w:asciiTheme="minorEastAsia" w:hAnsiTheme="minorEastAsia" w:cs="楷体" w:hint="eastAsia"/>
          <w:sz w:val="24"/>
        </w:rPr>
        <w:t>本制度未尽事宜或与有关规定不一致的，按有关规定执行。</w:t>
      </w:r>
    </w:p>
    <w:p w14:paraId="6570EF4E" w14:textId="77777777" w:rsidR="00141247" w:rsidRPr="00DD56C2" w:rsidRDefault="000B6875" w:rsidP="00DD56C2">
      <w:pPr>
        <w:autoSpaceDN w:val="0"/>
        <w:snapToGrid w:val="0"/>
        <w:spacing w:line="360" w:lineRule="auto"/>
        <w:ind w:firstLineChars="200" w:firstLine="482"/>
        <w:rPr>
          <w:rFonts w:asciiTheme="minorEastAsia" w:hAnsiTheme="minorEastAsia" w:cs="楷体"/>
          <w:b/>
          <w:sz w:val="24"/>
        </w:rPr>
      </w:pPr>
      <w:r w:rsidRPr="00DD56C2">
        <w:rPr>
          <w:rFonts w:asciiTheme="minorEastAsia" w:hAnsiTheme="minorEastAsia" w:cs="楷体" w:hint="eastAsia"/>
          <w:b/>
          <w:sz w:val="24"/>
        </w:rPr>
        <w:t>第十条</w:t>
      </w:r>
      <w:r w:rsidR="005A3ABC" w:rsidRPr="00DD56C2">
        <w:rPr>
          <w:rFonts w:asciiTheme="minorEastAsia" w:hAnsiTheme="minorEastAsia" w:cs="楷体" w:hint="eastAsia"/>
          <w:sz w:val="24"/>
        </w:rPr>
        <w:t> </w:t>
      </w:r>
      <w:r w:rsidRPr="00DD56C2">
        <w:rPr>
          <w:rFonts w:asciiTheme="minorEastAsia" w:hAnsiTheme="minorEastAsia" w:cs="楷体" w:hint="eastAsia"/>
          <w:sz w:val="24"/>
        </w:rPr>
        <w:t>本制度由理事会负责解释。</w:t>
      </w:r>
    </w:p>
    <w:p w14:paraId="38997A66" w14:textId="2B33BDC7" w:rsidR="00141247" w:rsidRPr="00DD56C2" w:rsidRDefault="000B6875" w:rsidP="00DD56C2">
      <w:pPr>
        <w:autoSpaceDN w:val="0"/>
        <w:snapToGrid w:val="0"/>
        <w:spacing w:line="360" w:lineRule="auto"/>
        <w:ind w:firstLineChars="200" w:firstLine="482"/>
        <w:jc w:val="left"/>
        <w:rPr>
          <w:rFonts w:asciiTheme="minorEastAsia" w:hAnsiTheme="minorEastAsia" w:cs="楷体"/>
          <w:kern w:val="0"/>
          <w:sz w:val="24"/>
        </w:rPr>
      </w:pPr>
      <w:r w:rsidRPr="00DD56C2">
        <w:rPr>
          <w:rFonts w:asciiTheme="minorEastAsia" w:hAnsiTheme="minorEastAsia" w:cs="楷体" w:hint="eastAsia"/>
          <w:b/>
          <w:bCs/>
          <w:kern w:val="0"/>
          <w:sz w:val="24"/>
        </w:rPr>
        <w:t>第十一条</w:t>
      </w:r>
      <w:r w:rsidR="005A3ABC" w:rsidRPr="00DD56C2">
        <w:rPr>
          <w:rFonts w:asciiTheme="minorEastAsia" w:hAnsiTheme="minorEastAsia" w:cs="楷体" w:hint="eastAsia"/>
          <w:sz w:val="24"/>
        </w:rPr>
        <w:t> </w:t>
      </w:r>
      <w:r w:rsidR="008C2C59" w:rsidRPr="00DD56C2">
        <w:rPr>
          <w:rFonts w:asciiTheme="minorEastAsia" w:hAnsiTheme="minorEastAsia" w:cs="楷体" w:hint="eastAsia"/>
          <w:kern w:val="0"/>
          <w:sz w:val="24"/>
        </w:rPr>
        <w:t>本制度经</w:t>
      </w:r>
      <w:r w:rsidR="008C2C59" w:rsidRPr="00DD56C2">
        <w:rPr>
          <w:rFonts w:asciiTheme="minorEastAsia" w:hAnsiTheme="minorEastAsia" w:cs="楷体"/>
          <w:kern w:val="0"/>
          <w:sz w:val="24"/>
        </w:rPr>
        <w:t>第</w:t>
      </w:r>
      <w:r w:rsidR="002E6B74">
        <w:rPr>
          <w:rFonts w:asciiTheme="minorEastAsia" w:hAnsiTheme="minorEastAsia" w:cs="楷体" w:hint="eastAsia"/>
          <w:kern w:val="0"/>
          <w:sz w:val="24"/>
        </w:rPr>
        <w:t>二</w:t>
      </w:r>
      <w:r w:rsidR="008C2C59" w:rsidRPr="00DD56C2">
        <w:rPr>
          <w:rFonts w:asciiTheme="minorEastAsia" w:hAnsiTheme="minorEastAsia" w:cs="楷体"/>
          <w:kern w:val="0"/>
          <w:sz w:val="24"/>
        </w:rPr>
        <w:t>届</w:t>
      </w:r>
      <w:r w:rsidRPr="00DD56C2">
        <w:rPr>
          <w:rFonts w:asciiTheme="minorEastAsia" w:hAnsiTheme="minorEastAsia" w:cs="楷体" w:hint="eastAsia"/>
          <w:kern w:val="0"/>
          <w:sz w:val="24"/>
        </w:rPr>
        <w:t>理事会</w:t>
      </w:r>
      <w:r w:rsidR="008C2C59" w:rsidRPr="00DD56C2">
        <w:rPr>
          <w:rFonts w:asciiTheme="minorEastAsia" w:hAnsiTheme="minorEastAsia" w:cs="楷体"/>
          <w:kern w:val="0"/>
          <w:sz w:val="24"/>
        </w:rPr>
        <w:t>第</w:t>
      </w:r>
      <w:r w:rsidR="002E6B74">
        <w:rPr>
          <w:rFonts w:asciiTheme="minorEastAsia" w:hAnsiTheme="minorEastAsia" w:cs="楷体" w:hint="eastAsia"/>
          <w:kern w:val="0"/>
          <w:sz w:val="24"/>
        </w:rPr>
        <w:t>四</w:t>
      </w:r>
      <w:bookmarkStart w:id="0" w:name="_GoBack"/>
      <w:bookmarkEnd w:id="0"/>
      <w:r w:rsidR="008C2C59" w:rsidRPr="00DD56C2">
        <w:rPr>
          <w:rFonts w:asciiTheme="minorEastAsia" w:hAnsiTheme="minorEastAsia" w:cs="楷体"/>
          <w:kern w:val="0"/>
          <w:sz w:val="24"/>
        </w:rPr>
        <w:t>次会议</w:t>
      </w:r>
      <w:r w:rsidRPr="00DD56C2">
        <w:rPr>
          <w:rFonts w:asciiTheme="minorEastAsia" w:hAnsiTheme="minorEastAsia" w:cs="楷体" w:hint="eastAsia"/>
          <w:kern w:val="0"/>
          <w:sz w:val="24"/>
        </w:rPr>
        <w:t>审议通过后执行。</w:t>
      </w:r>
    </w:p>
    <w:p w14:paraId="72F96694" w14:textId="77777777" w:rsidR="00141247" w:rsidRPr="00DD56C2" w:rsidRDefault="00141247" w:rsidP="00DD56C2">
      <w:pPr>
        <w:autoSpaceDN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楷体"/>
          <w:kern w:val="0"/>
          <w:sz w:val="24"/>
        </w:rPr>
      </w:pPr>
    </w:p>
    <w:p w14:paraId="305064A2" w14:textId="4F58A94D" w:rsidR="00141247" w:rsidRPr="00DD56C2" w:rsidRDefault="00F4244C" w:rsidP="00DD56C2">
      <w:pPr>
        <w:autoSpaceDN w:val="0"/>
        <w:snapToGrid w:val="0"/>
        <w:spacing w:line="360" w:lineRule="auto"/>
        <w:ind w:firstLineChars="200" w:firstLine="480"/>
        <w:jc w:val="right"/>
        <w:rPr>
          <w:rFonts w:asciiTheme="minorEastAsia" w:hAnsiTheme="minorEastAsia" w:cs="楷体"/>
          <w:sz w:val="24"/>
        </w:rPr>
      </w:pPr>
      <w:r w:rsidRPr="00DD56C2">
        <w:rPr>
          <w:rFonts w:asciiTheme="minorEastAsia" w:hAnsiTheme="minorEastAsia" w:cs="楷体" w:hint="eastAsia"/>
          <w:sz w:val="24"/>
        </w:rPr>
        <w:t>上海复恩社会组织法律</w:t>
      </w:r>
      <w:r w:rsidR="008F1AE5">
        <w:rPr>
          <w:rFonts w:asciiTheme="minorEastAsia" w:hAnsiTheme="minorEastAsia" w:cs="楷体" w:hint="eastAsia"/>
          <w:sz w:val="24"/>
        </w:rPr>
        <w:t>研究与</w:t>
      </w:r>
      <w:r w:rsidRPr="00DD56C2">
        <w:rPr>
          <w:rFonts w:asciiTheme="minorEastAsia" w:hAnsiTheme="minorEastAsia" w:cs="楷体" w:hint="eastAsia"/>
          <w:sz w:val="24"/>
        </w:rPr>
        <w:t>服务中心</w:t>
      </w:r>
    </w:p>
    <w:p w14:paraId="17317538" w14:textId="77777777" w:rsidR="00141247" w:rsidRPr="00DD56C2" w:rsidRDefault="00141247" w:rsidP="00DD56C2">
      <w:pPr>
        <w:spacing w:line="360" w:lineRule="auto"/>
        <w:rPr>
          <w:rFonts w:asciiTheme="minorEastAsia" w:hAnsiTheme="minorEastAsia"/>
          <w:sz w:val="24"/>
        </w:rPr>
      </w:pPr>
    </w:p>
    <w:p w14:paraId="5F6A9B11" w14:textId="77777777" w:rsidR="00141247" w:rsidRPr="00DD56C2" w:rsidRDefault="000B6875" w:rsidP="00DD56C2">
      <w:pPr>
        <w:spacing w:line="360" w:lineRule="auto"/>
        <w:rPr>
          <w:rFonts w:asciiTheme="minorEastAsia" w:hAnsiTheme="minorEastAsia"/>
          <w:sz w:val="24"/>
        </w:rPr>
      </w:pPr>
      <w:r w:rsidRPr="00DD56C2">
        <w:rPr>
          <w:rFonts w:asciiTheme="minorEastAsia" w:hAnsiTheme="minorEastAsia"/>
          <w:sz w:val="24"/>
        </w:rPr>
        <w:br w:type="page"/>
      </w:r>
    </w:p>
    <w:p w14:paraId="17CBBE15" w14:textId="77777777" w:rsidR="00141247" w:rsidRPr="00DD56C2" w:rsidRDefault="000B6875" w:rsidP="00DD56C2">
      <w:pPr>
        <w:widowControl/>
        <w:spacing w:before="100" w:beforeAutospacing="1" w:line="360" w:lineRule="auto"/>
        <w:jc w:val="left"/>
        <w:rPr>
          <w:rFonts w:asciiTheme="minorEastAsia" w:hAnsiTheme="minorEastAsia" w:cs="楷体"/>
          <w:b/>
          <w:bCs/>
          <w:color w:val="333333"/>
          <w:kern w:val="0"/>
          <w:sz w:val="24"/>
        </w:rPr>
      </w:pPr>
      <w:r w:rsidRPr="00DD56C2">
        <w:rPr>
          <w:rFonts w:asciiTheme="minorEastAsia" w:hAnsiTheme="minorEastAsia" w:cs="楷体" w:hint="eastAsia"/>
          <w:b/>
          <w:bCs/>
          <w:color w:val="333333"/>
          <w:kern w:val="0"/>
          <w:sz w:val="24"/>
        </w:rPr>
        <w:lastRenderedPageBreak/>
        <w:t>附件：上海市社会组织重大事项报告表（样表）</w:t>
      </w:r>
    </w:p>
    <w:p w14:paraId="7E47FC79" w14:textId="77777777" w:rsidR="00141247" w:rsidRPr="00DD56C2" w:rsidRDefault="000B6875" w:rsidP="00DD56C2">
      <w:pPr>
        <w:widowControl/>
        <w:spacing w:line="360" w:lineRule="auto"/>
        <w:jc w:val="center"/>
        <w:rPr>
          <w:rFonts w:asciiTheme="minorEastAsia" w:hAnsiTheme="minorEastAsia" w:cs="宋体"/>
          <w:color w:val="333333"/>
          <w:kern w:val="0"/>
          <w:sz w:val="24"/>
        </w:rPr>
      </w:pPr>
      <w:r w:rsidRPr="00DD56C2">
        <w:rPr>
          <w:rFonts w:asciiTheme="minorEastAsia" w:hAnsiTheme="minorEastAsia" w:cs="宋体"/>
          <w:noProof/>
          <w:color w:val="999999"/>
          <w:kern w:val="0"/>
          <w:sz w:val="24"/>
        </w:rPr>
        <w:drawing>
          <wp:inline distT="0" distB="0" distL="0" distR="0" wp14:anchorId="63F0CD5C" wp14:editId="28033E5B">
            <wp:extent cx="5667375" cy="3038475"/>
            <wp:effectExtent l="0" t="0" r="9525" b="9525"/>
            <wp:docPr id="2" name="图片 2" descr="http://s12.sinaimg.cn/mw690/006m7aVugy706swymfx0b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://s12.sinaimg.cn/mw690/006m7aVugy706swymfx0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6C2">
        <w:rPr>
          <w:rFonts w:asciiTheme="minorEastAsia" w:hAnsiTheme="minorEastAsia" w:cs="宋体"/>
          <w:color w:val="333333"/>
          <w:kern w:val="0"/>
          <w:sz w:val="24"/>
        </w:rPr>
        <w:t> </w:t>
      </w:r>
    </w:p>
    <w:p w14:paraId="2AADADC9" w14:textId="77777777" w:rsidR="00141247" w:rsidRPr="00DD56C2" w:rsidRDefault="000B6875" w:rsidP="00DD56C2">
      <w:pPr>
        <w:spacing w:line="360" w:lineRule="auto"/>
        <w:rPr>
          <w:rFonts w:asciiTheme="minorEastAsia" w:hAnsiTheme="minorEastAsia"/>
          <w:sz w:val="24"/>
        </w:rPr>
      </w:pPr>
      <w:r w:rsidRPr="00DD56C2">
        <w:rPr>
          <w:rFonts w:asciiTheme="minorEastAsia" w:hAnsiTheme="minorEastAsia" w:cs="宋体"/>
          <w:noProof/>
          <w:color w:val="999999"/>
          <w:kern w:val="0"/>
          <w:sz w:val="24"/>
        </w:rPr>
        <w:lastRenderedPageBreak/>
        <w:drawing>
          <wp:inline distT="0" distB="0" distL="0" distR="0" wp14:anchorId="1F7BED2C" wp14:editId="704668BA">
            <wp:extent cx="5676900" cy="4610100"/>
            <wp:effectExtent l="0" t="0" r="0" b="0"/>
            <wp:docPr id="1" name="图片 1" descr="http://s12.sinaimg.cn/mw690/006m7aVugy706sx3RA78b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s12.sinaimg.cn/mw690/006m7aVugy706sx3RA78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1247" w:rsidRPr="00DD56C2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F866A" w14:textId="77777777" w:rsidR="00E42495" w:rsidRDefault="00E42495">
      <w:pPr>
        <w:spacing w:line="240" w:lineRule="auto"/>
      </w:pPr>
      <w:r>
        <w:separator/>
      </w:r>
    </w:p>
  </w:endnote>
  <w:endnote w:type="continuationSeparator" w:id="0">
    <w:p w14:paraId="40DB9C8E" w14:textId="77777777" w:rsidR="00E42495" w:rsidRDefault="00E424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1194760"/>
    </w:sdtPr>
    <w:sdtEndPr/>
    <w:sdtContent>
      <w:sdt>
        <w:sdtPr>
          <w:id w:val="1728636285"/>
        </w:sdtPr>
        <w:sdtEndPr/>
        <w:sdtContent>
          <w:p w14:paraId="33C9DEF1" w14:textId="7E820527" w:rsidR="00141247" w:rsidRDefault="000B6875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6B7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6B7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7A98F8" w14:textId="77777777" w:rsidR="00141247" w:rsidRDefault="0014124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A62E5" w14:textId="77777777" w:rsidR="00E42495" w:rsidRDefault="00E42495">
      <w:pPr>
        <w:spacing w:line="240" w:lineRule="auto"/>
      </w:pPr>
      <w:r>
        <w:separator/>
      </w:r>
    </w:p>
  </w:footnote>
  <w:footnote w:type="continuationSeparator" w:id="0">
    <w:p w14:paraId="5FC748D9" w14:textId="77777777" w:rsidR="00E42495" w:rsidRDefault="00E424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21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49"/>
      <w:gridCol w:w="4992"/>
      <w:gridCol w:w="1276"/>
    </w:tblGrid>
    <w:tr w:rsidR="00F065C8" w14:paraId="7B8D1C2E" w14:textId="77777777" w:rsidTr="000B234F">
      <w:trPr>
        <w:trHeight w:val="1135"/>
      </w:trPr>
      <w:tc>
        <w:tcPr>
          <w:tcW w:w="1949" w:type="dxa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28513B7F" w14:textId="77777777" w:rsidR="00F065C8" w:rsidRDefault="00F065C8" w:rsidP="00F065C8">
          <w:pPr>
            <w:suppressAutoHyphens/>
            <w:autoSpaceDE w:val="0"/>
            <w:autoSpaceDN w:val="0"/>
            <w:spacing w:line="288" w:lineRule="auto"/>
            <w:jc w:val="center"/>
            <w:rPr>
              <w:rFonts w:ascii="Verdana" w:hAnsi="Verdana" w:cs="Verdana"/>
              <w:color w:val="000000"/>
              <w:kern w:val="0"/>
              <w:sz w:val="24"/>
            </w:rPr>
          </w:pPr>
          <w:r>
            <w:rPr>
              <w:rFonts w:ascii="Verdana" w:hAnsi="Verdana" w:cs="Verdana"/>
              <w:noProof/>
              <w:color w:val="000000"/>
              <w:kern w:val="0"/>
              <w:sz w:val="24"/>
            </w:rPr>
            <w:drawing>
              <wp:inline distT="0" distB="0" distL="114300" distR="114300" wp14:anchorId="6F7F181B" wp14:editId="79CCA656">
                <wp:extent cx="1005205" cy="695960"/>
                <wp:effectExtent l="0" t="0" r="4445" b="8890"/>
                <wp:docPr id="3" name="图片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3" descr="LOGO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205" cy="695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2" w:type="dxa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4F644044" w14:textId="77777777" w:rsidR="00F065C8" w:rsidRDefault="00F065C8" w:rsidP="00F065C8">
          <w:pPr>
            <w:suppressAutoHyphens/>
            <w:autoSpaceDE w:val="0"/>
            <w:autoSpaceDN w:val="0"/>
            <w:spacing w:line="288" w:lineRule="auto"/>
            <w:rPr>
              <w:rFonts w:ascii="Verdana" w:hAnsi="Verdana" w:cs="Verdana"/>
              <w:color w:val="404040" w:themeColor="text1" w:themeTint="BF"/>
              <w:kern w:val="0"/>
              <w:sz w:val="16"/>
              <w:szCs w:val="16"/>
            </w:rPr>
          </w:pPr>
          <w:r>
            <w:rPr>
              <w:rFonts w:ascii="Verdana" w:hAnsi="Verdana" w:cs="Verdana" w:hint="eastAsia"/>
              <w:color w:val="404040" w:themeColor="text1" w:themeTint="BF"/>
              <w:kern w:val="0"/>
              <w:sz w:val="16"/>
              <w:szCs w:val="16"/>
            </w:rPr>
            <w:t>电话</w:t>
          </w:r>
          <w:r>
            <w:rPr>
              <w:rFonts w:ascii="Verdana" w:hAnsi="Verdana" w:cs="Verdana"/>
              <w:color w:val="404040" w:themeColor="text1" w:themeTint="BF"/>
              <w:kern w:val="0"/>
              <w:sz w:val="16"/>
              <w:szCs w:val="16"/>
            </w:rPr>
            <w:t>(Tel)</w:t>
          </w:r>
          <w:r>
            <w:rPr>
              <w:rFonts w:ascii="Verdana" w:hAnsi="Verdana" w:cs="Verdana" w:hint="eastAsia"/>
              <w:color w:val="404040" w:themeColor="text1" w:themeTint="BF"/>
              <w:kern w:val="0"/>
              <w:sz w:val="16"/>
              <w:szCs w:val="16"/>
            </w:rPr>
            <w:t>：</w:t>
          </w:r>
          <w:r>
            <w:rPr>
              <w:rFonts w:ascii="Verdana" w:hAnsi="Verdana" w:cs="Verdana"/>
              <w:color w:val="404040" w:themeColor="text1" w:themeTint="BF"/>
              <w:kern w:val="0"/>
              <w:sz w:val="16"/>
              <w:szCs w:val="16"/>
            </w:rPr>
            <w:t xml:space="preserve">86-21-6093 6919 </w:t>
          </w:r>
        </w:p>
        <w:p w14:paraId="54025555" w14:textId="77777777" w:rsidR="00F065C8" w:rsidRDefault="00F065C8" w:rsidP="00F065C8">
          <w:pPr>
            <w:suppressAutoHyphens/>
            <w:autoSpaceDE w:val="0"/>
            <w:autoSpaceDN w:val="0"/>
            <w:spacing w:line="288" w:lineRule="auto"/>
            <w:rPr>
              <w:rFonts w:ascii="Verdana" w:hAnsi="Verdana" w:cs="Verdana"/>
              <w:color w:val="404040" w:themeColor="text1" w:themeTint="BF"/>
              <w:kern w:val="0"/>
              <w:sz w:val="16"/>
              <w:szCs w:val="16"/>
            </w:rPr>
          </w:pPr>
          <w:r>
            <w:rPr>
              <w:rFonts w:ascii="Verdana" w:hAnsi="Verdana" w:cs="Verdana" w:hint="eastAsia"/>
              <w:color w:val="404040" w:themeColor="text1" w:themeTint="BF"/>
              <w:kern w:val="0"/>
              <w:sz w:val="16"/>
              <w:szCs w:val="16"/>
            </w:rPr>
            <w:t>网站</w:t>
          </w:r>
          <w:r>
            <w:rPr>
              <w:rFonts w:ascii="Verdana" w:hAnsi="Verdana" w:cs="Verdana"/>
              <w:color w:val="404040" w:themeColor="text1" w:themeTint="BF"/>
              <w:kern w:val="0"/>
              <w:sz w:val="16"/>
              <w:szCs w:val="16"/>
            </w:rPr>
            <w:t>(Web)</w:t>
          </w:r>
          <w:r>
            <w:rPr>
              <w:rFonts w:ascii="Verdana" w:hAnsi="Verdana" w:cs="Verdana" w:hint="eastAsia"/>
              <w:color w:val="404040" w:themeColor="text1" w:themeTint="BF"/>
              <w:kern w:val="0"/>
              <w:sz w:val="16"/>
              <w:szCs w:val="16"/>
            </w:rPr>
            <w:t>：</w:t>
          </w:r>
          <w:hyperlink r:id="rId2" w:history="1">
            <w:r>
              <w:rPr>
                <w:rStyle w:val="a8"/>
                <w:rFonts w:ascii="Verdana" w:hAnsi="Verdana" w:cs="Verdana"/>
                <w:color w:val="404040" w:themeColor="text1" w:themeTint="BF"/>
                <w:kern w:val="0"/>
                <w:sz w:val="16"/>
                <w:szCs w:val="16"/>
              </w:rPr>
              <w:t>www.forngo.org</w:t>
            </w:r>
          </w:hyperlink>
          <w:r>
            <w:rPr>
              <w:rFonts w:ascii="Verdana" w:hAnsi="Verdana" w:cs="Verdana"/>
              <w:color w:val="404040" w:themeColor="text1" w:themeTint="BF"/>
              <w:kern w:val="0"/>
              <w:sz w:val="16"/>
              <w:szCs w:val="16"/>
            </w:rPr>
            <w:t xml:space="preserve">    </w:t>
          </w:r>
        </w:p>
        <w:p w14:paraId="7890758B" w14:textId="77777777" w:rsidR="00F065C8" w:rsidRDefault="00F065C8" w:rsidP="00F065C8">
          <w:pPr>
            <w:suppressAutoHyphens/>
            <w:autoSpaceDE w:val="0"/>
            <w:autoSpaceDN w:val="0"/>
            <w:spacing w:line="288" w:lineRule="auto"/>
            <w:rPr>
              <w:rFonts w:ascii="Verdana" w:hAnsi="Verdana" w:cs="Verdana"/>
              <w:color w:val="C0C0C0"/>
              <w:kern w:val="0"/>
              <w:sz w:val="16"/>
              <w:szCs w:val="16"/>
            </w:rPr>
          </w:pPr>
          <w:r>
            <w:rPr>
              <w:rFonts w:ascii="Verdana" w:hAnsi="Verdana" w:cs="Verdana" w:hint="eastAsia"/>
              <w:color w:val="404040" w:themeColor="text1" w:themeTint="BF"/>
              <w:kern w:val="0"/>
              <w:sz w:val="16"/>
              <w:szCs w:val="16"/>
            </w:rPr>
            <w:t>邮箱</w:t>
          </w:r>
          <w:r>
            <w:rPr>
              <w:rFonts w:ascii="Verdana" w:hAnsi="Verdana" w:cs="Verdana"/>
              <w:color w:val="404040" w:themeColor="text1" w:themeTint="BF"/>
              <w:kern w:val="0"/>
              <w:sz w:val="16"/>
              <w:szCs w:val="16"/>
            </w:rPr>
            <w:t>(E-mail)</w:t>
          </w:r>
          <w:r>
            <w:rPr>
              <w:rFonts w:ascii="Verdana" w:hAnsi="Verdana" w:cs="Verdana" w:hint="eastAsia"/>
              <w:color w:val="404040" w:themeColor="text1" w:themeTint="BF"/>
              <w:kern w:val="0"/>
              <w:sz w:val="16"/>
              <w:szCs w:val="16"/>
            </w:rPr>
            <w:t>：</w:t>
          </w:r>
          <w:r>
            <w:rPr>
              <w:rFonts w:ascii="Verdana" w:hAnsi="Verdana" w:cs="Verdana"/>
              <w:color w:val="404040" w:themeColor="text1" w:themeTint="BF"/>
              <w:kern w:val="0"/>
              <w:sz w:val="16"/>
              <w:szCs w:val="16"/>
            </w:rPr>
            <w:t>office@forngo.org</w:t>
          </w:r>
        </w:p>
      </w:tc>
      <w:tc>
        <w:tcPr>
          <w:tcW w:w="1276" w:type="dxa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58FA4344" w14:textId="77777777" w:rsidR="00F065C8" w:rsidRDefault="00F065C8" w:rsidP="00F065C8">
          <w:pPr>
            <w:suppressAutoHyphens/>
            <w:autoSpaceDE w:val="0"/>
            <w:autoSpaceDN w:val="0"/>
            <w:spacing w:line="288" w:lineRule="auto"/>
            <w:jc w:val="right"/>
            <w:rPr>
              <w:rFonts w:ascii="Verdana" w:hAnsi="Verdana" w:cs="Verdana"/>
              <w:color w:val="000000"/>
              <w:kern w:val="0"/>
              <w:sz w:val="24"/>
            </w:rPr>
          </w:pPr>
        </w:p>
        <w:p w14:paraId="13F36597" w14:textId="77777777" w:rsidR="00F065C8" w:rsidRDefault="00F065C8" w:rsidP="00F065C8">
          <w:pPr>
            <w:suppressAutoHyphens/>
            <w:autoSpaceDE w:val="0"/>
            <w:autoSpaceDN w:val="0"/>
            <w:spacing w:line="288" w:lineRule="auto"/>
            <w:ind w:right="240"/>
            <w:jc w:val="right"/>
            <w:rPr>
              <w:rFonts w:ascii="Verdana" w:hAnsi="Verdana" w:cs="Verdana"/>
              <w:color w:val="000000"/>
              <w:kern w:val="0"/>
              <w:sz w:val="24"/>
            </w:rPr>
          </w:pPr>
          <w:r>
            <w:rPr>
              <w:rFonts w:ascii="Verdana" w:hAnsi="Verdana" w:cs="Verdana"/>
              <w:noProof/>
              <w:color w:val="000000"/>
              <w:kern w:val="0"/>
              <w:sz w:val="24"/>
            </w:rPr>
            <w:drawing>
              <wp:inline distT="0" distB="0" distL="0" distR="0" wp14:anchorId="3B162C0D" wp14:editId="5CA4BD79">
                <wp:extent cx="581025" cy="581025"/>
                <wp:effectExtent l="0" t="0" r="9525" b="9525"/>
                <wp:docPr id="5" name="图片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2AA8260" w14:textId="081AEBB9" w:rsidR="008C2C59" w:rsidRDefault="008C2C59" w:rsidP="00F4244C">
    <w:pPr>
      <w:pStyle w:val="a6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A59AA"/>
    <w:rsid w:val="00040FBD"/>
    <w:rsid w:val="000B6875"/>
    <w:rsid w:val="00141247"/>
    <w:rsid w:val="0017358A"/>
    <w:rsid w:val="00207C5D"/>
    <w:rsid w:val="00253867"/>
    <w:rsid w:val="00286D53"/>
    <w:rsid w:val="002D1DA8"/>
    <w:rsid w:val="002E6B74"/>
    <w:rsid w:val="005075BE"/>
    <w:rsid w:val="005A3ABC"/>
    <w:rsid w:val="0074353E"/>
    <w:rsid w:val="008C2C59"/>
    <w:rsid w:val="008F1AE5"/>
    <w:rsid w:val="00B83F63"/>
    <w:rsid w:val="00BB7FA4"/>
    <w:rsid w:val="00BF420C"/>
    <w:rsid w:val="00C937B4"/>
    <w:rsid w:val="00CF0660"/>
    <w:rsid w:val="00DD56C2"/>
    <w:rsid w:val="00E42495"/>
    <w:rsid w:val="00F065C8"/>
    <w:rsid w:val="00F4244C"/>
    <w:rsid w:val="50BD26D7"/>
    <w:rsid w:val="657A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D95DE7"/>
  <w15:docId w15:val="{9754186C-3D83-46AD-99AC-6C4BB868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kern w:val="0"/>
      <w:sz w:val="24"/>
    </w:rPr>
  </w:style>
  <w:style w:type="character" w:styleId="a5">
    <w:name w:val="Emphasis"/>
    <w:basedOn w:val="a0"/>
    <w:qFormat/>
    <w:rPr>
      <w:i/>
      <w:iCs/>
    </w:rPr>
  </w:style>
  <w:style w:type="paragraph" w:customStyle="1" w:styleId="p0">
    <w:name w:val="p0"/>
    <w:basedOn w:val="a"/>
    <w:link w:val="p0Char"/>
    <w:qFormat/>
    <w:pPr>
      <w:widowControl/>
      <w:adjustRightInd/>
      <w:spacing w:line="240" w:lineRule="auto"/>
      <w:textAlignment w:val="auto"/>
    </w:pPr>
    <w:rPr>
      <w:kern w:val="0"/>
      <w:szCs w:val="21"/>
    </w:rPr>
  </w:style>
  <w:style w:type="character" w:customStyle="1" w:styleId="p0Char">
    <w:name w:val="p0 Char"/>
    <w:link w:val="p0"/>
    <w:qFormat/>
    <w:locked/>
    <w:rPr>
      <w:kern w:val="0"/>
      <w:szCs w:val="21"/>
    </w:rPr>
  </w:style>
  <w:style w:type="paragraph" w:styleId="a6">
    <w:name w:val="header"/>
    <w:basedOn w:val="a"/>
    <w:link w:val="a7"/>
    <w:rsid w:val="00B83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B83F63"/>
    <w:rPr>
      <w:kern w:val="2"/>
      <w:sz w:val="18"/>
      <w:szCs w:val="18"/>
    </w:rPr>
  </w:style>
  <w:style w:type="character" w:styleId="a8">
    <w:name w:val="Hyperlink"/>
    <w:uiPriority w:val="99"/>
    <w:unhideWhenUsed/>
    <w:qFormat/>
    <w:rsid w:val="00F065C8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hoto.blog.sina.com.cn/showpic.html#blogid=&amp;url=http://album.sina.com.cn/pic/006m7aVugy706swymfx0b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photo.blog.sina.com.cn/showpic.html#blogid=&amp;url=http://album.sina.com.cn/pic/006m7aVugy706sx3RA78b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www.forngo.or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ForNGO</dc:creator>
  <cp:lastModifiedBy>GLF</cp:lastModifiedBy>
  <cp:revision>12</cp:revision>
  <dcterms:created xsi:type="dcterms:W3CDTF">2017-09-18T17:25:00Z</dcterms:created>
  <dcterms:modified xsi:type="dcterms:W3CDTF">2024-08-27T08:01:00Z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